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3D3" w:rsidRDefault="00000000">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Fannye</w:t>
      </w:r>
      <w:proofErr w:type="spellEnd"/>
      <w:r>
        <w:rPr>
          <w:rFonts w:ascii="Times New Roman" w:eastAsia="Times New Roman" w:hAnsi="Times New Roman" w:cs="Times New Roman"/>
          <w:b/>
          <w:sz w:val="24"/>
          <w:szCs w:val="24"/>
        </w:rPr>
        <w:t xml:space="preserve"> A. Cooke, Federal Wildlife Policy, and the Maturation of Game and Fish Laws in Mississippi, 1932-1940</w:t>
      </w:r>
    </w:p>
    <w:p w14:paraId="00000002" w14:textId="77777777" w:rsidR="00C743D3" w:rsidRDefault="00C743D3">
      <w:pPr>
        <w:spacing w:line="240" w:lineRule="auto"/>
        <w:rPr>
          <w:rFonts w:ascii="Times New Roman" w:eastAsia="Times New Roman" w:hAnsi="Times New Roman" w:cs="Times New Roman"/>
          <w:b/>
          <w:sz w:val="24"/>
          <w:szCs w:val="24"/>
        </w:rPr>
      </w:pPr>
    </w:p>
    <w:p w14:paraId="00000003" w14:textId="77777777" w:rsidR="00C743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the last chapter of a book manuscript that explores the evolution of game law in the deep South, focuses on 1930s Mississippi, when federal policy was robust in its support for wildlife and the preservation of public space in the South. While hunting and fishing encoded a certain type of white masculinity in the early twentieth century South, white women proved increasingly visible as advocates for and enactors of wildlife protection. No finer example exists than </w:t>
      </w:r>
      <w:proofErr w:type="spellStart"/>
      <w:r>
        <w:rPr>
          <w:rFonts w:ascii="Times New Roman" w:eastAsia="Times New Roman" w:hAnsi="Times New Roman" w:cs="Times New Roman"/>
          <w:sz w:val="24"/>
          <w:szCs w:val="24"/>
        </w:rPr>
        <w:t>Fannye</w:t>
      </w:r>
      <w:proofErr w:type="spellEnd"/>
      <w:r>
        <w:rPr>
          <w:rFonts w:ascii="Times New Roman" w:eastAsia="Times New Roman" w:hAnsi="Times New Roman" w:cs="Times New Roman"/>
          <w:sz w:val="24"/>
          <w:szCs w:val="24"/>
        </w:rPr>
        <w:t xml:space="preserve"> A. Cook, a scientist and educator from Mississippi. Cook’s lobbying, fundraising, and public outreach resulted in the first comprehensive state game and fish commission in Mississippi in 1932. Yet Cook could not have fulfilled her vision for wildlife protection without breakthroughs in wildlife science, federal muscle, and the </w:t>
      </w:r>
      <w:proofErr w:type="gramStart"/>
      <w:r>
        <w:rPr>
          <w:rFonts w:ascii="Times New Roman" w:eastAsia="Times New Roman" w:hAnsi="Times New Roman" w:cs="Times New Roman"/>
          <w:sz w:val="24"/>
          <w:szCs w:val="24"/>
        </w:rPr>
        <w:t>relentlessness  of</w:t>
      </w:r>
      <w:proofErr w:type="gramEnd"/>
      <w:r>
        <w:rPr>
          <w:rFonts w:ascii="Times New Roman" w:eastAsia="Times New Roman" w:hAnsi="Times New Roman" w:cs="Times New Roman"/>
          <w:sz w:val="24"/>
          <w:szCs w:val="24"/>
        </w:rPr>
        <w:t xml:space="preserve"> the long enclosure movement in the South. Employing Cook’s records in the Mississippi Department of Archives and History, this paper explores how shifting gender roles, New Deal policy, and decades of land privatization bend us towards understanding the legacies of hunting in the modern South. </w:t>
      </w:r>
    </w:p>
    <w:p w14:paraId="00000004" w14:textId="77777777" w:rsidR="00C743D3" w:rsidRDefault="00C743D3">
      <w:pPr>
        <w:rPr>
          <w:rFonts w:ascii="Times New Roman" w:eastAsia="Times New Roman" w:hAnsi="Times New Roman" w:cs="Times New Roman"/>
        </w:rPr>
      </w:pPr>
    </w:p>
    <w:sectPr w:rsidR="00C743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D3"/>
    <w:rsid w:val="0043106A"/>
    <w:rsid w:val="00C7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B40A5-D8AC-44EE-A171-8A7AD5B4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Hulbert</dc:creator>
  <cp:lastModifiedBy>Matthew Hulbert</cp:lastModifiedBy>
  <cp:revision>2</cp:revision>
  <dcterms:created xsi:type="dcterms:W3CDTF">2023-07-01T23:36:00Z</dcterms:created>
  <dcterms:modified xsi:type="dcterms:W3CDTF">2023-07-01T23:36:00Z</dcterms:modified>
</cp:coreProperties>
</file>